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3EB"/>
  <w:body>
    <w:p w14:paraId="144EE839" w14:textId="257BA899" w:rsidR="0089552A" w:rsidRDefault="0089552A" w:rsidP="0089552A">
      <w:pPr>
        <w:pStyle w:val="Title"/>
      </w:pPr>
      <w:r>
        <w:t>Welcome to All In video transcript</w:t>
      </w:r>
    </w:p>
    <w:p w14:paraId="070E5640" w14:textId="3A439872" w:rsidR="0089552A" w:rsidRDefault="00CC722B" w:rsidP="00FA2D32">
      <w:pPr>
        <w:spacing w:line="320" w:lineRule="atLeast"/>
        <w:rPr>
          <w:rFonts w:ascii="Montserrat" w:hAnsi="Montserrat" w:cs="Montserrat"/>
          <w:spacing w:val="8"/>
          <w:sz w:val="28"/>
          <w:szCs w:val="28"/>
        </w:rPr>
      </w:pPr>
      <w:hyperlink r:id="rId8" w:history="1">
        <w:r w:rsidRPr="00CC722B">
          <w:rPr>
            <w:rStyle w:val="Hyperlink"/>
            <w:rFonts w:ascii="Montserrat" w:hAnsi="Montserrat" w:cs="Montserrat"/>
            <w:spacing w:val="8"/>
            <w:sz w:val="28"/>
            <w:szCs w:val="28"/>
          </w:rPr>
          <w:t>Welcome to All In video</w:t>
        </w:r>
      </w:hyperlink>
    </w:p>
    <w:p w14:paraId="462D3846" w14:textId="2F87C7F2"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Welcome to All In. We believe that creative and cultural experiences should be accessible to everyone and that together, we can all enjoy the benefits of improving access.</w:t>
      </w:r>
    </w:p>
    <w:p w14:paraId="2BC2AD94" w14:textId="36EC6E8C"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We’re excited to get you started with your free taster account. This preview will </w:t>
      </w:r>
      <w:r w:rsidR="00103E48">
        <w:rPr>
          <w:rFonts w:ascii="Montserrat" w:hAnsi="Montserrat" w:cs="Montserrat"/>
          <w:spacing w:val="8"/>
          <w:sz w:val="28"/>
          <w:szCs w:val="28"/>
        </w:rPr>
        <w:t xml:space="preserve">give you </w:t>
      </w:r>
      <w:permStart w:id="948053849" w:edGrp="everyone"/>
      <w:permEnd w:id="948053849"/>
      <w:r w:rsidR="3CC73A78" w:rsidRPr="00FA2D32">
        <w:rPr>
          <w:rFonts w:ascii="Montserrat" w:hAnsi="Montserrat" w:cs="Montserrat"/>
          <w:spacing w:val="8"/>
          <w:sz w:val="28"/>
          <w:szCs w:val="28"/>
        </w:rPr>
        <w:t xml:space="preserve">a </w:t>
      </w:r>
      <w:r w:rsidRPr="00FA2D32">
        <w:rPr>
          <w:rFonts w:ascii="Montserrat" w:hAnsi="Montserrat" w:cs="Montserrat"/>
          <w:spacing w:val="8"/>
          <w:sz w:val="28"/>
          <w:szCs w:val="28"/>
        </w:rPr>
        <w:t>chance to explore some of All In’s features before subscriptions open.</w:t>
      </w:r>
    </w:p>
    <w:p w14:paraId="1D5F8918" w14:textId="4E98FBEA"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Your next step will be to set up your organisation on All In. This will be where you and your team can work together and manage each of your locations. </w:t>
      </w:r>
    </w:p>
    <w:p w14:paraId="4EF4CBBD" w14:textId="79F411D5"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You only need to provide a few key details, and after submitting, our team will review it to make sure everything’s in order. It won’t take long, you’ll hear back from us within a few days. </w:t>
      </w:r>
    </w:p>
    <w:p w14:paraId="3990379F" w14:textId="19ACF445"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Once up and running, you can log in and explore your organisation’s account. Invite your colleagues to join, so everyone can explore All In’s features together. </w:t>
      </w:r>
    </w:p>
    <w:p w14:paraId="0DD12941" w14:textId="0310B25C"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Next, you’ll create a location access profile. You can use this self-audit tool, combined with our guidance and support materials to help you along the way. A location access profile brings all your access information together in one place. Using our powerful tools, you can work collaboratively with your team to document your current access provisions </w:t>
      </w:r>
      <w:r w:rsidR="001436D6">
        <w:rPr>
          <w:rFonts w:ascii="Montserrat" w:hAnsi="Montserrat" w:cs="Montserrat"/>
          <w:spacing w:val="8"/>
          <w:sz w:val="28"/>
          <w:szCs w:val="28"/>
        </w:rPr>
        <w:t>and</w:t>
      </w:r>
      <w:r w:rsidRPr="00FA2D32">
        <w:rPr>
          <w:rFonts w:ascii="Montserrat" w:hAnsi="Montserrat" w:cs="Montserrat"/>
          <w:spacing w:val="8"/>
          <w:sz w:val="28"/>
          <w:szCs w:val="28"/>
        </w:rPr>
        <w:t xml:space="preserve"> clearly communicate them </w:t>
      </w:r>
      <w:r w:rsidR="001436D6">
        <w:rPr>
          <w:rFonts w:ascii="Montserrat" w:hAnsi="Montserrat" w:cs="Montserrat"/>
          <w:spacing w:val="8"/>
          <w:sz w:val="28"/>
          <w:szCs w:val="28"/>
        </w:rPr>
        <w:t>with</w:t>
      </w:r>
      <w:r w:rsidRPr="00FA2D32">
        <w:rPr>
          <w:rFonts w:ascii="Montserrat" w:hAnsi="Montserrat" w:cs="Montserrat"/>
          <w:spacing w:val="8"/>
          <w:sz w:val="28"/>
          <w:szCs w:val="28"/>
        </w:rPr>
        <w:t xml:space="preserve"> your visitors. This will make it even easier to showcase everything you have to offer.</w:t>
      </w:r>
    </w:p>
    <w:p w14:paraId="20D7D4E9" w14:textId="51724821"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Right now, you can create an access profile for a single location, which is any site with its own address and access provisions. If you have more than one site, we recommend you choose a location that you know best to get the most out of your taster account experience.</w:t>
      </w:r>
    </w:p>
    <w:p w14:paraId="3D344029" w14:textId="24C562E1"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lastRenderedPageBreak/>
        <w:t xml:space="preserve">You’ll be able to preview how your access profile will appear to the general public, but don’t worry, for now only you and your team can see it. </w:t>
      </w:r>
    </w:p>
    <w:p w14:paraId="6EB17CB7" w14:textId="214C0503" w:rsidR="435D8D2D" w:rsidRPr="00DF0B2C" w:rsidRDefault="00FA2D32" w:rsidP="435D8D2D">
      <w:pPr>
        <w:spacing w:line="320" w:lineRule="atLeast"/>
        <w:rPr>
          <w:rFonts w:ascii="Montserrat" w:hAnsi="Montserrat" w:cs="Montserrat"/>
          <w:spacing w:val="8"/>
          <w:sz w:val="28"/>
          <w:szCs w:val="28"/>
        </w:rPr>
      </w:pPr>
      <w:r w:rsidRPr="00FA2D32">
        <w:rPr>
          <w:rFonts w:ascii="Montserrat" w:hAnsi="Montserrat" w:cs="Montserrat"/>
          <w:spacing w:val="8"/>
          <w:sz w:val="28"/>
          <w:szCs w:val="28"/>
        </w:rPr>
        <w:t>After subscribing, you can make further changes to your existing profile, as well as adding extra locations, before publishing when you’re ready.</w:t>
      </w:r>
    </w:p>
    <w:p w14:paraId="5DA82472" w14:textId="5C6885C3" w:rsidR="00FA2D32" w:rsidRPr="00DF0B2C" w:rsidRDefault="7E80EB54" w:rsidP="00FA2D32">
      <w:pPr>
        <w:spacing w:line="320" w:lineRule="atLeast"/>
        <w:rPr>
          <w:rFonts w:ascii="Montserrat" w:hAnsi="Montserrat" w:cs="Montserrat"/>
          <w:sz w:val="28"/>
          <w:szCs w:val="28"/>
        </w:rPr>
      </w:pPr>
      <w:r w:rsidRPr="435D8D2D">
        <w:rPr>
          <w:rFonts w:ascii="Montserrat" w:hAnsi="Montserrat" w:cs="Montserrat"/>
          <w:sz w:val="28"/>
          <w:szCs w:val="28"/>
        </w:rPr>
        <w:t>If you need support at any point, visit our help centre. Here, you will find useful articles, and you will be able to submit requests for further support.</w:t>
      </w:r>
    </w:p>
    <w:p w14:paraId="6E3C63F4" w14:textId="6D1A65E2"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Your taster account will also give you a preview of the UK and Ireland’s first accessibility standards for creativity and culture. See how All In’s practical, structured guidelines can help you plan improvements to your current access provisions. </w:t>
      </w:r>
    </w:p>
    <w:p w14:paraId="575FB798" w14:textId="43523EE3"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When you subscribe, you’ll unlock the full range of standards covering the Built Environment, Digital Communications, Creative and Cultural Experiences, and Customer Services. </w:t>
      </w:r>
    </w:p>
    <w:p w14:paraId="0F16D264" w14:textId="7A962E9C"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And you won’t be doing it alone! Our friendly Skills and Support Team will be on hand to offer 1-2-1 guidance across a huge range of access topics, tailored to you and your goals.</w:t>
      </w:r>
    </w:p>
    <w:p w14:paraId="709380B8" w14:textId="4F140246" w:rsidR="00FA2D3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 xml:space="preserve">So, let’s get started. Use this taster account to begin your access journey with All In. This is your first step, so don’t feel like you need to do everything at once. Take your time, involve your team, and develop your All In journey together. </w:t>
      </w:r>
    </w:p>
    <w:p w14:paraId="72FD2B3C" w14:textId="7991FC93" w:rsidR="00FC4CA2" w:rsidRPr="00FA2D32" w:rsidRDefault="00FA2D32" w:rsidP="00FA2D32">
      <w:pPr>
        <w:spacing w:line="320" w:lineRule="atLeast"/>
        <w:rPr>
          <w:rFonts w:ascii="Montserrat" w:hAnsi="Montserrat" w:cs="Montserrat"/>
          <w:spacing w:val="8"/>
          <w:sz w:val="28"/>
          <w:szCs w:val="28"/>
        </w:rPr>
      </w:pPr>
      <w:r w:rsidRPr="00FA2D32">
        <w:rPr>
          <w:rFonts w:ascii="Montserrat" w:hAnsi="Montserrat" w:cs="Montserrat"/>
          <w:spacing w:val="8"/>
          <w:sz w:val="28"/>
          <w:szCs w:val="28"/>
        </w:rPr>
        <w:t>Because when we’re All In, everyone’s welcome.</w:t>
      </w:r>
    </w:p>
    <w:sectPr w:rsidR="00FC4CA2" w:rsidRPr="00FA2D32">
      <w:pgSz w:w="11909" w:h="16834" w:code="9"/>
      <w:pgMar w:top="1901" w:right="1699" w:bottom="1368" w:left="1411" w:header="562" w:footer="1555"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Bold">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1814717181">
    <w:abstractNumId w:val="4"/>
  </w:num>
  <w:num w:numId="2" w16cid:durableId="994797912">
    <w:abstractNumId w:val="0"/>
  </w:num>
  <w:num w:numId="3" w16cid:durableId="1972706285">
    <w:abstractNumId w:val="0"/>
  </w:num>
  <w:num w:numId="4" w16cid:durableId="1072459829">
    <w:abstractNumId w:val="0"/>
  </w:num>
  <w:num w:numId="5" w16cid:durableId="1331327302">
    <w:abstractNumId w:val="0"/>
  </w:num>
  <w:num w:numId="6" w16cid:durableId="1245526521">
    <w:abstractNumId w:val="0"/>
  </w:num>
  <w:num w:numId="7" w16cid:durableId="2054888899">
    <w:abstractNumId w:val="0"/>
  </w:num>
  <w:num w:numId="8" w16cid:durableId="1337852438">
    <w:abstractNumId w:val="0"/>
  </w:num>
  <w:num w:numId="9" w16cid:durableId="1900092915">
    <w:abstractNumId w:val="0"/>
  </w:num>
  <w:num w:numId="10" w16cid:durableId="1448811584">
    <w:abstractNumId w:val="0"/>
  </w:num>
  <w:num w:numId="11" w16cid:durableId="728842877">
    <w:abstractNumId w:val="0"/>
  </w:num>
  <w:num w:numId="12" w16cid:durableId="281108961">
    <w:abstractNumId w:val="2"/>
  </w:num>
  <w:num w:numId="13" w16cid:durableId="1974405049">
    <w:abstractNumId w:val="3"/>
  </w:num>
  <w:num w:numId="14" w16cid:durableId="176731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32"/>
    <w:rsid w:val="000E0585"/>
    <w:rsid w:val="00103E48"/>
    <w:rsid w:val="00112AFC"/>
    <w:rsid w:val="001436D6"/>
    <w:rsid w:val="001A72C9"/>
    <w:rsid w:val="001C689D"/>
    <w:rsid w:val="00413C34"/>
    <w:rsid w:val="004175D0"/>
    <w:rsid w:val="0089552A"/>
    <w:rsid w:val="008A7C19"/>
    <w:rsid w:val="00920815"/>
    <w:rsid w:val="00A464DB"/>
    <w:rsid w:val="00B27A46"/>
    <w:rsid w:val="00B479DF"/>
    <w:rsid w:val="00C20BDD"/>
    <w:rsid w:val="00C324AE"/>
    <w:rsid w:val="00C347FA"/>
    <w:rsid w:val="00CC722B"/>
    <w:rsid w:val="00D0674C"/>
    <w:rsid w:val="00DF0B2C"/>
    <w:rsid w:val="00E2036E"/>
    <w:rsid w:val="00F05AC4"/>
    <w:rsid w:val="00F642CF"/>
    <w:rsid w:val="00FA2D32"/>
    <w:rsid w:val="00FC4CA2"/>
    <w:rsid w:val="24762E88"/>
    <w:rsid w:val="3CC73A78"/>
    <w:rsid w:val="3DEEC25D"/>
    <w:rsid w:val="42A66AF9"/>
    <w:rsid w:val="435D8D2D"/>
    <w:rsid w:val="4F834C37"/>
    <w:rsid w:val="7E80E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efbf8,#fdf9f5,#fbf3eb"/>
    </o:shapedefaults>
    <o:shapelayout v:ext="edit">
      <o:idmap v:ext="edit" data="1"/>
    </o:shapelayout>
  </w:shapeDefaults>
  <w:decimalSymbol w:val="."/>
  <w:listSeparator w:val=","/>
  <w14:docId w14:val="40CF8CA1"/>
  <w15:chartTrackingRefBased/>
  <w15:docId w15:val="{AECD0E72-4944-427E-8AD4-A2E72255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CF"/>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Title">
    <w:name w:val="Title"/>
    <w:basedOn w:val="Normal"/>
    <w:next w:val="Normal"/>
    <w:link w:val="TitleChar"/>
    <w:uiPriority w:val="10"/>
    <w:qFormat/>
    <w:rsid w:val="00FA2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D32"/>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FA2D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D32"/>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FA2D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2D32"/>
    <w:rPr>
      <w:rFonts w:ascii="Arial" w:hAnsi="Arial"/>
      <w:i/>
      <w:iCs/>
      <w:color w:val="404040" w:themeColor="text1" w:themeTint="BF"/>
      <w:sz w:val="24"/>
      <w:lang w:eastAsia="en-US"/>
    </w:rPr>
  </w:style>
  <w:style w:type="paragraph" w:styleId="ListParagraph">
    <w:name w:val="List Paragraph"/>
    <w:basedOn w:val="Normal"/>
    <w:uiPriority w:val="34"/>
    <w:qFormat/>
    <w:rsid w:val="00FA2D32"/>
    <w:pPr>
      <w:ind w:left="720"/>
      <w:contextualSpacing/>
    </w:pPr>
  </w:style>
  <w:style w:type="character" w:styleId="IntenseEmphasis">
    <w:name w:val="Intense Emphasis"/>
    <w:basedOn w:val="DefaultParagraphFont"/>
    <w:uiPriority w:val="21"/>
    <w:qFormat/>
    <w:rsid w:val="00FA2D32"/>
    <w:rPr>
      <w:i/>
      <w:iCs/>
      <w:color w:val="365F91" w:themeColor="accent1" w:themeShade="BF"/>
    </w:rPr>
  </w:style>
  <w:style w:type="paragraph" w:styleId="IntenseQuote">
    <w:name w:val="Intense Quote"/>
    <w:basedOn w:val="Normal"/>
    <w:next w:val="Normal"/>
    <w:link w:val="IntenseQuoteChar"/>
    <w:uiPriority w:val="30"/>
    <w:qFormat/>
    <w:rsid w:val="00FA2D3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2D32"/>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FA2D32"/>
    <w:rPr>
      <w:b/>
      <w:bCs/>
      <w:smallCaps/>
      <w:color w:val="365F91" w:themeColor="accent1" w:themeShade="BF"/>
      <w:spacing w:val="5"/>
    </w:rPr>
  </w:style>
  <w:style w:type="table" w:styleId="TableGrid">
    <w:name w:val="Table Grid"/>
    <w:basedOn w:val="TableNormal"/>
    <w:uiPriority w:val="59"/>
    <w:rsid w:val="00FA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6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in.zendesk.com/hc/en-gb/articles/4945584979103-Taster-account-FAQ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7A4C0422A72458C37E46ED5F480B9" ma:contentTypeVersion="19" ma:contentTypeDescription="Create a new document." ma:contentTypeScope="" ma:versionID="a2db05caaf2ab06b51aa11e2aad9fba9">
  <xsd:schema xmlns:xsd="http://www.w3.org/2001/XMLSchema" xmlns:xs="http://www.w3.org/2001/XMLSchema" xmlns:p="http://schemas.microsoft.com/office/2006/metadata/properties" xmlns:ns2="8fd5d97a-8b44-4e68-9c03-f6e24c857d95" xmlns:ns3="36e2d6dc-b494-4437-849f-8814244891e5" targetNamespace="http://schemas.microsoft.com/office/2006/metadata/properties" ma:root="true" ma:fieldsID="2bb23480e5dc02f8ca741305ae59e9b2" ns2:_="" ns3:_="">
    <xsd:import namespace="8fd5d97a-8b44-4e68-9c03-f6e24c857d95"/>
    <xsd:import namespace="36e2d6dc-b494-4437-849f-881424489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5d97a-8b44-4e68-9c03-f6e24c85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2d6dc-b494-4437-849f-881424489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3363e6-cf16-4cd4-96d6-54d10ca40b2e}" ma:internalName="TaxCatchAll" ma:showField="CatchAllData" ma:web="36e2d6dc-b494-4437-849f-881424489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d5d97a-8b44-4e68-9c03-f6e24c857d95">
      <Terms xmlns="http://schemas.microsoft.com/office/infopath/2007/PartnerControls"/>
    </lcf76f155ced4ddcb4097134ff3c332f>
    <TaxCatchAll xmlns="36e2d6dc-b494-4437-849f-8814244891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AEDCA-BBCA-427F-B5E5-4070ECA4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5d97a-8b44-4e68-9c03-f6e24c857d95"/>
    <ds:schemaRef ds:uri="36e2d6dc-b494-4437-849f-881424489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E4F25-B7E0-4EB2-BA24-85F2C2CE68F5}">
  <ds:schemaRefs>
    <ds:schemaRef ds:uri="http://schemas.microsoft.com/office/2006/metadata/properties"/>
    <ds:schemaRef ds:uri="http://schemas.microsoft.com/office/infopath/2007/PartnerControls"/>
    <ds:schemaRef ds:uri="8fd5d97a-8b44-4e68-9c03-f6e24c857d95"/>
    <ds:schemaRef ds:uri="36e2d6dc-b494-4437-849f-8814244891e5"/>
  </ds:schemaRefs>
</ds:datastoreItem>
</file>

<file path=customXml/itemProps3.xml><?xml version="1.0" encoding="utf-8"?>
<ds:datastoreItem xmlns:ds="http://schemas.openxmlformats.org/officeDocument/2006/customXml" ds:itemID="{20F6304F-DF66-421D-BB30-7B302E2D9D0C}">
  <ds:schemaRefs>
    <ds:schemaRef ds:uri="http://schemas.microsoft.com/sharepoint/v3/contenttype/forms"/>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2574</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Seed</dc:creator>
  <cp:keywords/>
  <dc:description/>
  <cp:lastModifiedBy>Joanne Blunt</cp:lastModifiedBy>
  <cp:revision>2</cp:revision>
  <cp:lastPrinted>1998-09-28T23:30:00Z</cp:lastPrinted>
  <dcterms:created xsi:type="dcterms:W3CDTF">2025-09-03T13:18:00Z</dcterms:created>
  <dcterms:modified xsi:type="dcterms:W3CDTF">2025-09-03T13:18:00Z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0x0101003E87A4C0422A72458C37E46ED5F480B9</vt:lpwstr>
  </property>
  <property fmtid="{D5CDD505-2E9C-101B-9397-08002B2CF9AE}" pid="3" name="MediaServiceImageTags">
    <vt:lpwstr/>
  </property>
</Properties>
</file>